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72B" w:rsidRDefault="00F6772B">
      <w:bookmarkStart w:id="0" w:name="_GoBack"/>
      <w:bookmarkEnd w:id="0"/>
    </w:p>
    <w:p w:rsidR="00194B50" w:rsidRDefault="00F6772B">
      <w:r>
        <w:t xml:space="preserve">Attraverso pazienti ricerche d’archivio, il libro porta alla luce la dimensione non solo letteraria ma anche umana del circolo di </w:t>
      </w:r>
      <w:proofErr w:type="spellStart"/>
      <w:r>
        <w:t>Cesarotti</w:t>
      </w:r>
      <w:proofErr w:type="spellEnd"/>
      <w:r>
        <w:t xml:space="preserve">, professore e “padre” di allievi a loro volta uniti da un profondo senso di fraternità. La seconda parte del saggio analizza gli anni veneziani del giovane Foscolo (1792-1797) proprio attraverso la chiave di lettura della scuola cesarottiana: dall’iniziale entusiasmo per il </w:t>
      </w:r>
      <w:proofErr w:type="spellStart"/>
      <w:r>
        <w:t>Cesarotti</w:t>
      </w:r>
      <w:proofErr w:type="spellEnd"/>
      <w:r>
        <w:t xml:space="preserve"> e la sua scuola, che il poeta greco-veneto vide inizialmente come una famiglia ideale, al suo progressivo allontanamento, alla ricerca di una poetica più profonda, libera e personale, più in grado di rispondere a vecchie e nuove inquietudini.</w:t>
      </w:r>
    </w:p>
    <w:sectPr w:rsidR="00194B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2B"/>
    <w:rsid w:val="000540D4"/>
    <w:rsid w:val="00194B50"/>
    <w:rsid w:val="003D1B17"/>
    <w:rsid w:val="004E49CC"/>
    <w:rsid w:val="006677B7"/>
    <w:rsid w:val="00C04911"/>
    <w:rsid w:val="00EF6193"/>
    <w:rsid w:val="00F6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2014-03-11T13:27:00Z</dcterms:created>
  <dcterms:modified xsi:type="dcterms:W3CDTF">2014-03-11T13:28:00Z</dcterms:modified>
</cp:coreProperties>
</file>